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P-03663GDA32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2026-0496-66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Straßenbauarbeiten, Straßenerhaltungsmaßnahmen - Asphaltmaßnahmen 2026-2028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Bei der Ausschreibung handelt es sich um Straßenerhaltungsmaßnahmen im öffentlichen Raum der Stadt Münster.
Diese umfassen ca. 20 Einzelbaumaßnahmen &lt; 1 000 m2 und ca. 25 Einzelbaumaßnahmen &gt; 1 000 m2. Alle Einzelbaumaßnahmen liegen verteilt im Stadtgebiet von Münster. Der Ausführungszeitraum für die Maßnahmen beträgt ca. 24 Monate.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